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A901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一般条款及保修期</w:t>
      </w:r>
    </w:p>
    <w:p w14:paraId="513292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鑫硕泰自产品出货日起提供产品保修，保修期内如因料件或生产问题导致产品故障，鑫硕泰将提供保修服务。保修期限根据产品类别有所不同，具体如下所示:</w:t>
      </w:r>
    </w:p>
    <w:p w14:paraId="7626DBB1">
      <w:pPr>
        <w:rPr>
          <w:rFonts w:hint="eastAsia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26"/>
        <w:gridCol w:w="2826"/>
        <w:gridCol w:w="2826"/>
      </w:tblGrid>
      <w:tr w14:paraId="42A18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32" w:hRule="atLeast"/>
        </w:trPr>
        <w:tc>
          <w:tcPr>
            <w:tcW w:w="2826" w:type="dxa"/>
            <w:shd w:val="clear" w:color="auto" w:fill="F1F1F1" w:themeFill="background1" w:themeFillShade="F2"/>
            <w:vAlign w:val="center"/>
          </w:tcPr>
          <w:p w14:paraId="2C1059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产品类别</w:t>
            </w:r>
          </w:p>
        </w:tc>
        <w:tc>
          <w:tcPr>
            <w:tcW w:w="2826" w:type="dxa"/>
            <w:shd w:val="clear" w:color="auto" w:fill="F1F1F1" w:themeFill="background1" w:themeFillShade="F2"/>
            <w:vAlign w:val="center"/>
          </w:tcPr>
          <w:p w14:paraId="23ECE4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产品线</w:t>
            </w:r>
          </w:p>
        </w:tc>
        <w:tc>
          <w:tcPr>
            <w:tcW w:w="2826" w:type="dxa"/>
            <w:shd w:val="clear" w:color="auto" w:fill="F1F1F1" w:themeFill="background1" w:themeFillShade="F2"/>
            <w:vAlign w:val="center"/>
          </w:tcPr>
          <w:p w14:paraId="6379CD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保修期限</w:t>
            </w:r>
          </w:p>
        </w:tc>
      </w:tr>
      <w:tr w14:paraId="6CDD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029DEE1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40B2D9F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DDR3-1600</w:t>
            </w:r>
          </w:p>
        </w:tc>
        <w:tc>
          <w:tcPr>
            <w:tcW w:w="2826" w:type="dxa"/>
            <w:vAlign w:val="center"/>
          </w:tcPr>
          <w:p w14:paraId="132698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4435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1F77B71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59DD918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DDR4-2666</w:t>
            </w:r>
          </w:p>
        </w:tc>
        <w:tc>
          <w:tcPr>
            <w:tcW w:w="2826" w:type="dxa"/>
            <w:vAlign w:val="center"/>
          </w:tcPr>
          <w:p w14:paraId="37AE69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0D193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29A5B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75921DB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DDR4-3200</w:t>
            </w:r>
          </w:p>
        </w:tc>
        <w:tc>
          <w:tcPr>
            <w:tcW w:w="2826" w:type="dxa"/>
            <w:vAlign w:val="center"/>
          </w:tcPr>
          <w:p w14:paraId="290D6B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64BC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210DDC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5F8F4E1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DDR4-3600</w:t>
            </w:r>
          </w:p>
        </w:tc>
        <w:tc>
          <w:tcPr>
            <w:tcW w:w="2826" w:type="dxa"/>
            <w:vAlign w:val="center"/>
          </w:tcPr>
          <w:p w14:paraId="284A5E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7DEEB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433842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569E38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DDR4-4800</w:t>
            </w:r>
          </w:p>
        </w:tc>
        <w:tc>
          <w:tcPr>
            <w:tcW w:w="2826" w:type="dxa"/>
            <w:vAlign w:val="center"/>
          </w:tcPr>
          <w:p w14:paraId="045003F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72BB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09D5984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7519E4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DDR5-5200</w:t>
            </w:r>
          </w:p>
        </w:tc>
        <w:tc>
          <w:tcPr>
            <w:tcW w:w="2826" w:type="dxa"/>
            <w:vAlign w:val="center"/>
          </w:tcPr>
          <w:p w14:paraId="689974E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72C5D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2D554F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245A6A8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DDR5-5600</w:t>
            </w:r>
          </w:p>
        </w:tc>
        <w:tc>
          <w:tcPr>
            <w:tcW w:w="2826" w:type="dxa"/>
            <w:vAlign w:val="center"/>
          </w:tcPr>
          <w:p w14:paraId="46C220A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5D0A2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D40C6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007A39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DDR5-6000</w:t>
            </w:r>
          </w:p>
        </w:tc>
        <w:tc>
          <w:tcPr>
            <w:tcW w:w="2826" w:type="dxa"/>
            <w:vAlign w:val="center"/>
          </w:tcPr>
          <w:p w14:paraId="6837ED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1F9C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12BE3C8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4478078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L150 2.5</w:t>
            </w:r>
            <w:r>
              <w:rPr>
                <w:rFonts w:hint="default"/>
                <w:vertAlign w:val="baseline"/>
                <w:lang w:val="en-US" w:eastAsia="zh-CN"/>
              </w:rPr>
              <w:t>”</w:t>
            </w:r>
            <w:r>
              <w:rPr>
                <w:rFonts w:hint="eastAsia"/>
                <w:vertAlign w:val="baseline"/>
                <w:lang w:val="en-US" w:eastAsia="zh-CN"/>
              </w:rPr>
              <w:t>SSD</w:t>
            </w:r>
          </w:p>
        </w:tc>
        <w:tc>
          <w:tcPr>
            <w:tcW w:w="2826" w:type="dxa"/>
            <w:vAlign w:val="center"/>
          </w:tcPr>
          <w:p w14:paraId="002EDA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41318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091B6C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6825058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S200 M.2 2280 SSD</w:t>
            </w:r>
          </w:p>
        </w:tc>
        <w:tc>
          <w:tcPr>
            <w:tcW w:w="2826" w:type="dxa"/>
            <w:vAlign w:val="center"/>
          </w:tcPr>
          <w:p w14:paraId="6A21C4E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557D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E63919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267D28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M200 mSATA SSD</w:t>
            </w:r>
          </w:p>
        </w:tc>
        <w:tc>
          <w:tcPr>
            <w:tcW w:w="2826" w:type="dxa"/>
            <w:vAlign w:val="center"/>
          </w:tcPr>
          <w:p w14:paraId="3CF5C71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6BD2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172C6D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1E7613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X400 NVMe 3.0 SSD</w:t>
            </w:r>
          </w:p>
        </w:tc>
        <w:tc>
          <w:tcPr>
            <w:tcW w:w="2826" w:type="dxa"/>
            <w:vAlign w:val="center"/>
          </w:tcPr>
          <w:p w14:paraId="18A34F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6E8F4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3F5E3C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751766C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XT500 NVMe 4.0 SSD</w:t>
            </w:r>
          </w:p>
        </w:tc>
        <w:tc>
          <w:tcPr>
            <w:tcW w:w="2826" w:type="dxa"/>
            <w:vAlign w:val="center"/>
          </w:tcPr>
          <w:p w14:paraId="6EBC71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4722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2826" w:type="dxa"/>
            <w:vAlign w:val="center"/>
          </w:tcPr>
          <w:p w14:paraId="7E75FAC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351258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GK7000 NVMe 4.0 SSD</w:t>
            </w:r>
          </w:p>
        </w:tc>
        <w:tc>
          <w:tcPr>
            <w:tcW w:w="2826" w:type="dxa"/>
            <w:vAlign w:val="center"/>
          </w:tcPr>
          <w:p w14:paraId="5E8ECE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五年质保 全程换新</w:t>
            </w:r>
          </w:p>
        </w:tc>
      </w:tr>
    </w:tbl>
    <w:p w14:paraId="421F7EC6">
      <w:pPr>
        <w:rPr>
          <w:rFonts w:hint="default"/>
          <w:lang w:val="en-US" w:eastAsia="zh-CN"/>
        </w:rPr>
      </w:pPr>
    </w:p>
    <w:p w14:paraId="723C7BF8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保修条款和条件</w:t>
      </w:r>
    </w:p>
    <w:p w14:paraId="6081558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本保修条款仅限于在保修期内对故障产品进行维修或更换。（由鑫硕泰自行判定）</w:t>
      </w:r>
    </w:p>
    <w:p w14:paraId="79C4401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如正常安装使用的产品在鑫硕泰出货质保期内发生故障，经鑫硕泰判定属于产品不良，将提供换货服务。</w:t>
      </w:r>
    </w:p>
    <w:p w14:paraId="537BFCA1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在保修期内发生故障的产品，客户可在鑫硕泰服务电话400 8066 0926以及官方微信公众号提供维修服务申请，再将故障品送至鑫硕泰。</w:t>
      </w:r>
    </w:p>
    <w:p w14:paraId="1AD5FDB4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客户需要使用原有包装或具同等保护效果的包装寄送产品，并且需要承担产品寄送的单程运费以及运送是遗失或受损的风险（可为其进行投保）。</w:t>
      </w:r>
    </w:p>
    <w:p w14:paraId="377A556A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客户送修前务必自行备份产品的相关配置和存储设备（硬盘、内存卡等）中的数据资料，</w:t>
      </w:r>
    </w:p>
    <w:p w14:paraId="6941CD3B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鑫硕泰对产品中存储的数据或配置的丢失不承担任何责任。</w:t>
      </w:r>
    </w:p>
    <w:p w14:paraId="2C79B7B9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经鑫硕泰维修（或换货）产品的保修期可按原产品剩余保修期限计算。</w:t>
      </w:r>
    </w:p>
    <w:p w14:paraId="451BE03D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内存芯片人为损坏不超过两颗，免费更换。超过两颗，按当时该型号售价的八</w:t>
      </w:r>
      <w:bookmarkStart w:id="0" w:name="_GoBack"/>
      <w:bookmarkEnd w:id="0"/>
      <w:r>
        <w:rPr>
          <w:rFonts w:hint="eastAsia"/>
          <w:lang w:val="en-US" w:eastAsia="zh-CN"/>
        </w:rPr>
        <w:t>分之一价格一颗，收取维修原料费用。</w:t>
      </w:r>
    </w:p>
    <w:p w14:paraId="149D973A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质保期内，如果返修型号停产，我司将按当时的市场价值更换同价值的新型号。</w:t>
      </w:r>
    </w:p>
    <w:p w14:paraId="4878FB6C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7B6DC088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未经授权核准的返修案例</w:t>
      </w:r>
    </w:p>
    <w:p w14:paraId="141E440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若返修品未依规定提交鑫硕泰维修服务申请或并非鑫硕泰的产品，鑫硕泰将不予受理。原件将被退回，且返程的运费与风险由客户自行承担。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334148"/>
    <w:multiLevelType w:val="singleLevel"/>
    <w:tmpl w:val="503341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NzQwM2MzMTYyNzg5OWVjZGJhNGFhMjkzZWE3MWEifQ=="/>
  </w:docVars>
  <w:rsids>
    <w:rsidRoot w:val="33697918"/>
    <w:rsid w:val="33697918"/>
    <w:rsid w:val="6B22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2024-10-08T02:06:00Z</dcterms:created>
  <dc:creator>原地爆炸</dc:creator>
  <cp:lastModifiedBy>原地爆炸</cp:lastModifiedBy>
  <dcterms:modified xsi:type="dcterms:W3CDTF">2024-10-08T02:32:38Z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E64CDC4895A64FD8B487D04C422F8DF1_11</vt:lpwstr>
  </property>
</Properties>
</file>